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bCs/>
          <w:sz w:val="30"/>
          <w:szCs w:val="30"/>
        </w:rPr>
      </w:pPr>
      <w:bookmarkStart w:id="0" w:name="_GoBack"/>
      <w:bookmarkEnd w:id="0"/>
    </w:p>
    <w:p>
      <w:pPr>
        <w:jc w:val="center"/>
        <w:rPr>
          <w:rFonts w:ascii="黑体" w:hAnsi="黑体" w:eastAsia="黑体"/>
          <w:b/>
          <w:sz w:val="44"/>
          <w:szCs w:val="36"/>
        </w:rPr>
      </w:pPr>
      <w:r>
        <w:rPr>
          <w:rFonts w:hint="eastAsia" w:ascii="黑体" w:hAnsi="黑体" w:eastAsia="黑体"/>
          <w:b/>
          <w:sz w:val="44"/>
          <w:szCs w:val="36"/>
        </w:rPr>
        <w:t>推动提高沪市上市公司ESG信息披露质量</w:t>
      </w:r>
    </w:p>
    <w:p>
      <w:pPr>
        <w:jc w:val="center"/>
        <w:rPr>
          <w:rFonts w:ascii="黑体" w:hAnsi="黑体" w:eastAsia="黑体"/>
          <w:b/>
          <w:sz w:val="44"/>
          <w:szCs w:val="36"/>
        </w:rPr>
      </w:pPr>
      <w:r>
        <w:rPr>
          <w:rFonts w:hint="eastAsia" w:ascii="黑体" w:hAnsi="黑体" w:eastAsia="黑体"/>
          <w:b/>
          <w:sz w:val="44"/>
          <w:szCs w:val="36"/>
        </w:rPr>
        <w:t>三年行动方案（2024-2026年）</w:t>
      </w:r>
    </w:p>
    <w:p>
      <w:pPr>
        <w:jc w:val="center"/>
        <w:rPr>
          <w:rFonts w:ascii="黑体" w:hAnsi="黑体" w:eastAsia="黑体"/>
          <w:b/>
          <w:sz w:val="44"/>
          <w:szCs w:val="36"/>
        </w:rPr>
      </w:pPr>
    </w:p>
    <w:p>
      <w:pPr>
        <w:ind w:firstLine="591" w:firstLineChars="197"/>
        <w:rPr>
          <w:rFonts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为深入贯彻</w:t>
      </w:r>
      <w:r>
        <w:rPr>
          <w:rFonts w:ascii="仿宋_GB2312" w:eastAsia="仿宋_GB2312"/>
          <w:sz w:val="30"/>
          <w:szCs w:val="30"/>
        </w:rPr>
        <w:t>党的二十大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ascii="仿宋_GB2312" w:eastAsia="仿宋_GB2312"/>
          <w:sz w:val="30"/>
          <w:szCs w:val="30"/>
        </w:rPr>
        <w:t>二十届三中全会</w:t>
      </w:r>
      <w:r>
        <w:rPr>
          <w:rFonts w:hint="eastAsia" w:ascii="仿宋_GB2312" w:eastAsia="仿宋_GB2312"/>
          <w:sz w:val="30"/>
          <w:szCs w:val="30"/>
        </w:rPr>
        <w:t>和</w:t>
      </w:r>
      <w:r>
        <w:rPr>
          <w:rFonts w:hint="eastAsia" w:ascii="仿宋_GB2312" w:eastAsia="仿宋_GB2312"/>
          <w:bCs/>
          <w:sz w:val="30"/>
          <w:szCs w:val="30"/>
        </w:rPr>
        <w:t>中央金融工作会议</w:t>
      </w:r>
      <w:r>
        <w:rPr>
          <w:rFonts w:ascii="仿宋_GB2312" w:eastAsia="仿宋_GB2312"/>
          <w:bCs/>
          <w:sz w:val="30"/>
          <w:szCs w:val="30"/>
        </w:rPr>
        <w:t>精神</w:t>
      </w:r>
      <w:r>
        <w:rPr>
          <w:rFonts w:ascii="仿宋_GB2312" w:eastAsia="仿宋_GB2312"/>
          <w:sz w:val="30"/>
          <w:szCs w:val="30"/>
        </w:rPr>
        <w:t>，落实</w:t>
      </w:r>
      <w:r>
        <w:rPr>
          <w:rFonts w:hint="eastAsia" w:ascii="仿宋_GB2312" w:eastAsia="仿宋_GB2312"/>
          <w:sz w:val="30"/>
          <w:szCs w:val="30"/>
        </w:rPr>
        <w:t>《中共中央 国务院关于加快经济社会发展全面绿色转型的意见》</w:t>
      </w:r>
      <w:r>
        <w:rPr>
          <w:rFonts w:hint="eastAsia" w:ascii="仿宋_GB2312" w:eastAsia="仿宋_GB2312"/>
          <w:bCs/>
          <w:sz w:val="30"/>
          <w:szCs w:val="30"/>
        </w:rPr>
        <w:t>和《国务院关于加强监管防范风险推动资本市场高质量发展的若干意见》，推动提高沪市上市公司ESG信息披露质量，做好绿色金融大文章，助力</w:t>
      </w:r>
      <w:r>
        <w:rPr>
          <w:rFonts w:ascii="仿宋_GB2312" w:eastAsia="仿宋_GB2312"/>
          <w:bCs/>
          <w:sz w:val="30"/>
          <w:szCs w:val="30"/>
        </w:rPr>
        <w:t>加快</w:t>
      </w:r>
      <w:r>
        <w:rPr>
          <w:rFonts w:hint="eastAsia" w:ascii="仿宋_GB2312" w:eastAsia="仿宋_GB2312"/>
          <w:bCs/>
          <w:sz w:val="30"/>
          <w:szCs w:val="30"/>
        </w:rPr>
        <w:t>经济社会发展全面绿色转型，上海证券交易所（以下简称本所）制定形成了《推动提高沪市上市公司ESG信息披露质量三年行动方案（2024-2026年）》。</w:t>
      </w:r>
    </w:p>
    <w:p>
      <w:pPr>
        <w:spacing w:line="600" w:lineRule="exact"/>
        <w:ind w:firstLine="602" w:firstLineChars="200"/>
        <w:rPr>
          <w:rFonts w:ascii="黑体" w:hAnsi="黑体" w:eastAsia="黑体" w:cs="仿宋_GB2312"/>
          <w:b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b/>
          <w:color w:val="000000"/>
          <w:sz w:val="30"/>
          <w:szCs w:val="30"/>
        </w:rPr>
        <w:t>一、总体目标</w:t>
      </w:r>
    </w:p>
    <w:p>
      <w:pPr>
        <w:spacing w:line="6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力争经过三年的努力，沪市上市公司ESG治理能力、披露基础进一步巩固，《上海证券交易所上市公司自律监管指引第14号——可持续发展报告（试行）》</w:t>
      </w:r>
      <w:r>
        <w:rPr>
          <w:rFonts w:ascii="仿宋_GB2312" w:eastAsia="仿宋_GB2312"/>
          <w:sz w:val="30"/>
          <w:szCs w:val="30"/>
        </w:rPr>
        <w:t>（以下简称《指引》）</w:t>
      </w:r>
      <w:r>
        <w:rPr>
          <w:rFonts w:hint="eastAsia" w:ascii="仿宋_GB2312" w:eastAsia="仿宋_GB2312"/>
          <w:sz w:val="30"/>
          <w:szCs w:val="30"/>
        </w:rPr>
        <w:t>相关要求得到有效执行，ESG报告披露数量和披露质量明显</w:t>
      </w:r>
      <w:r>
        <w:rPr>
          <w:rFonts w:ascii="仿宋_GB2312" w:eastAsia="仿宋_GB2312"/>
          <w:sz w:val="30"/>
          <w:szCs w:val="30"/>
        </w:rPr>
        <w:t>提高</w:t>
      </w:r>
      <w:r>
        <w:rPr>
          <w:rFonts w:hint="eastAsia" w:ascii="仿宋_GB2312" w:eastAsia="仿宋_GB2312"/>
          <w:sz w:val="30"/>
          <w:szCs w:val="30"/>
        </w:rPr>
        <w:t>，主流评级机构对上市公司ESG评价评级水平整体提升，优质上市公司绿色转型融资得到有力支持，ESG金融产品支持上市公司获得合理估值，ESG关键数据数字化水平明显</w:t>
      </w:r>
      <w:r>
        <w:rPr>
          <w:rFonts w:ascii="仿宋_GB2312" w:eastAsia="仿宋_GB2312"/>
          <w:sz w:val="30"/>
          <w:szCs w:val="30"/>
        </w:rPr>
        <w:t>加强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ind w:firstLine="585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二、总体原则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一是坚持实事求是、稳慎推进原则。</w:t>
      </w:r>
      <w:r>
        <w:rPr>
          <w:rFonts w:hint="eastAsia" w:ascii="仿宋_GB2312" w:eastAsia="仿宋_GB2312"/>
          <w:bCs/>
          <w:sz w:val="30"/>
          <w:szCs w:val="30"/>
        </w:rPr>
        <w:t>在巩固沪市上市公司现有成果的基础上，根据国内配套基础制度建设进度、上市公司披露能力和基础等实际情况，着力推动解决上市公司面临的内在障碍和外在制约。在实施节奏上，按照稳慎推进的总体原则，紧跟国家战略发展需要，结合上市公司承受能力把握推进速度。</w:t>
      </w:r>
    </w:p>
    <w:p>
      <w:pPr>
        <w:ind w:firstLine="602" w:firstLineChars="200"/>
        <w:rPr>
          <w:rFonts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二是坚持成本效益、倡导为主原则。</w:t>
      </w:r>
      <w:r>
        <w:rPr>
          <w:rFonts w:hint="eastAsia" w:ascii="仿宋_GB2312" w:eastAsia="仿宋_GB2312"/>
          <w:bCs/>
          <w:sz w:val="30"/>
          <w:szCs w:val="30"/>
        </w:rPr>
        <w:t>综合考虑编制ESG报告、实施报告鉴证等可能给上市公司带来额外成本，实施过程中将坚持通过加大制度供给、加强指导服务来降低上市公司整体披露成本。同时，对于实施第三方鉴证、开展情景分析等可能增加公司成本的事项，继续保持倡导和鼓励态度。</w:t>
      </w:r>
    </w:p>
    <w:p>
      <w:pPr>
        <w:ind w:firstLine="602" w:firstLineChars="200"/>
        <w:rPr>
          <w:rFonts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三是坚持分类施策、奖惩并重原则。</w:t>
      </w:r>
      <w:r>
        <w:rPr>
          <w:rFonts w:hint="eastAsia" w:ascii="仿宋_GB2312" w:eastAsia="仿宋_GB2312"/>
          <w:bCs/>
          <w:sz w:val="30"/>
          <w:szCs w:val="30"/>
        </w:rPr>
        <w:t>对于《指引》要求强制披露ESG报告的公司加强信息披露管理，确保《指引》要求得到严格落实。通过优化信息披露评价、再融资、并购重组等方面的激励措施，引导其他上市公司自愿适用《指引》披露ESG报告。同时在监管方面，加强对漂绿行为、恶意选择性披露的监管力度。</w:t>
      </w:r>
    </w:p>
    <w:p>
      <w:pPr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四是坚持系统思维、凝聚合力原则。</w:t>
      </w:r>
      <w:r>
        <w:rPr>
          <w:rFonts w:hint="eastAsia" w:ascii="仿宋_GB2312" w:eastAsia="仿宋_GB2312"/>
          <w:bCs/>
          <w:sz w:val="30"/>
          <w:szCs w:val="30"/>
        </w:rPr>
        <w:t>ESG信息披露与评价评级、投融资、金融创新、金融标准、市场监管等密切相关，要注重发挥各方合力，加强与政府部门、评级机构、基金公司、新闻媒体、利益相关者等多方主体沟通协作，群策群力，共同形成全方位激励约束机制，营造良好ESG生态体系。</w:t>
      </w:r>
    </w:p>
    <w:p>
      <w:pPr>
        <w:spacing w:line="600" w:lineRule="exact"/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三、主要行动</w:t>
      </w:r>
    </w:p>
    <w:p>
      <w:pPr>
        <w:spacing w:line="600" w:lineRule="exact"/>
        <w:ind w:firstLine="600" w:firstLineChars="200"/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围绕推动提高沪市上市公司ESG信息披露质量的总体目标，本所从信息披露能力建设、信息披露</w:t>
      </w:r>
      <w:r>
        <w:rPr>
          <w:rFonts w:hint="eastAsia" w:ascii="仿宋_GB2312" w:hAnsi="黑体" w:eastAsia="仿宋_GB2312"/>
          <w:bCs/>
          <w:sz w:val="30"/>
          <w:szCs w:val="30"/>
        </w:rPr>
        <w:t>服务和监管、加强资本支持、ESG评价评级和投资、上市公司宣介和国际交流合作、数字化建设六大方面，</w:t>
      </w:r>
      <w:r>
        <w:rPr>
          <w:rFonts w:hint="eastAsia" w:ascii="仿宋_GB2312" w:hAnsi="仿宋" w:eastAsia="仿宋_GB2312"/>
          <w:sz w:val="30"/>
          <w:szCs w:val="30"/>
        </w:rPr>
        <w:t>形成了以下十七项</w:t>
      </w:r>
      <w:r>
        <w:rPr>
          <w:rFonts w:ascii="仿宋_GB2312" w:hAnsi="仿宋" w:eastAsia="仿宋_GB2312"/>
          <w:sz w:val="30"/>
          <w:szCs w:val="30"/>
        </w:rPr>
        <w:t>具体</w:t>
      </w:r>
      <w:r>
        <w:rPr>
          <w:rFonts w:hint="eastAsia" w:ascii="仿宋_GB2312" w:hAnsi="仿宋" w:eastAsia="仿宋_GB2312"/>
          <w:sz w:val="30"/>
          <w:szCs w:val="30"/>
        </w:rPr>
        <w:t>工作安排。</w:t>
      </w:r>
    </w:p>
    <w:p>
      <w:pPr>
        <w:ind w:firstLine="593" w:firstLineChars="197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（一）支持上市公司加强ESG信息披露能力建设</w:t>
      </w:r>
    </w:p>
    <w:p>
      <w:pPr>
        <w:ind w:firstLine="562"/>
        <w:jc w:val="left"/>
        <w:rPr>
          <w:rFonts w:ascii="仿宋_GB2312" w:hAnsi="黑体" w:eastAsia="仿宋_GB2312"/>
          <w:b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1.持续优化完善ESG信息披露制度体系，引导更多上市公司披露高质量ESG报告。</w:t>
      </w:r>
      <w:r>
        <w:rPr>
          <w:rFonts w:hint="eastAsia" w:ascii="仿宋_GB2312" w:hAnsi="黑体" w:eastAsia="仿宋_GB2312"/>
          <w:sz w:val="30"/>
          <w:szCs w:val="30"/>
        </w:rPr>
        <w:t>在中国证监会的统筹下，深入研究国内外ESG信息披露制度成果和上市公司优秀实践，</w:t>
      </w:r>
      <w:r>
        <w:rPr>
          <w:rFonts w:hint="eastAsia" w:ascii="仿宋_GB2312" w:hAnsi="Calibri" w:eastAsia="仿宋_GB2312" w:cs="Times New Roman"/>
          <w:sz w:val="30"/>
          <w:szCs w:val="30"/>
        </w:rPr>
        <w:t>按照“重点优先，分步推进”的原则，分批次起草发布上市公司可持续发展报告编制指南，为上市公司建立完善可持续发展治理架构、识别重要议题、分析可持续发展相关风险和机遇等提供</w:t>
      </w:r>
      <w:r>
        <w:rPr>
          <w:rFonts w:hint="eastAsia" w:ascii="仿宋_GB2312" w:hAnsi="黑体" w:eastAsia="仿宋_GB2312"/>
          <w:sz w:val="30"/>
          <w:szCs w:val="30"/>
        </w:rPr>
        <w:t>“工具箱”，降低披露难度和成本，</w:t>
      </w:r>
      <w:r>
        <w:rPr>
          <w:rFonts w:hint="eastAsia" w:ascii="仿宋_GB2312" w:hAnsi="黑体" w:eastAsia="仿宋_GB2312"/>
          <w:bCs/>
          <w:sz w:val="30"/>
          <w:szCs w:val="30"/>
        </w:rPr>
        <w:t>引导更多上市公司自愿适用《指引》披露可持续发展报告。</w:t>
      </w:r>
    </w:p>
    <w:p>
      <w:pPr>
        <w:ind w:firstLine="562"/>
        <w:jc w:val="left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2.做好</w:t>
      </w:r>
      <w:r>
        <w:rPr>
          <w:rFonts w:ascii="仿宋_GB2312" w:hAnsi="黑体" w:eastAsia="仿宋_GB2312"/>
          <w:b/>
          <w:sz w:val="30"/>
          <w:szCs w:val="30"/>
        </w:rPr>
        <w:t>ESG</w:t>
      </w:r>
      <w:r>
        <w:rPr>
          <w:rFonts w:hint="eastAsia" w:ascii="仿宋_GB2312" w:hAnsi="黑体" w:eastAsia="仿宋_GB2312"/>
          <w:b/>
          <w:sz w:val="30"/>
          <w:szCs w:val="30"/>
        </w:rPr>
        <w:t>信息披露常态化</w:t>
      </w:r>
      <w:r>
        <w:rPr>
          <w:rFonts w:ascii="仿宋_GB2312" w:hAnsi="黑体" w:eastAsia="仿宋_GB2312"/>
          <w:b/>
          <w:sz w:val="30"/>
          <w:szCs w:val="30"/>
        </w:rPr>
        <w:t>培训</w:t>
      </w:r>
      <w:r>
        <w:rPr>
          <w:rFonts w:hint="eastAsia" w:ascii="仿宋_GB2312" w:hAnsi="黑体" w:eastAsia="仿宋_GB2312"/>
          <w:b/>
          <w:sz w:val="30"/>
          <w:szCs w:val="30"/>
        </w:rPr>
        <w:t>工作。</w:t>
      </w:r>
      <w:r>
        <w:rPr>
          <w:rFonts w:hint="eastAsia" w:ascii="仿宋_GB2312" w:hAnsi="黑体" w:eastAsia="仿宋_GB2312"/>
          <w:bCs/>
          <w:sz w:val="30"/>
          <w:szCs w:val="30"/>
        </w:rPr>
        <w:t>为满足上市公司培训需求，常态化开展可持续发展信息披露（ESG）专题培训，邀请所内外专家提供政策制度解读、ESG评价评级和投资、碳排放核算方法讲解、优秀上市公司经验分享等课程。同时，进一步丰富绿色金融线上公开课，</w:t>
      </w:r>
      <w:r>
        <w:rPr>
          <w:rFonts w:hint="eastAsia" w:ascii="仿宋_GB2312" w:hAnsi="Calibri" w:eastAsia="仿宋_GB2312" w:cs="Times New Roman"/>
          <w:sz w:val="30"/>
          <w:szCs w:val="30"/>
        </w:rPr>
        <w:t>开设分行业、分专题网络培训课程，扩大培训覆盖面。支持行业协会、社会组织和市场机构等举办各类ESG培训活动。</w:t>
      </w:r>
    </w:p>
    <w:p>
      <w:pPr>
        <w:spacing w:line="600" w:lineRule="exact"/>
        <w:ind w:firstLine="602" w:firstLineChars="200"/>
        <w:jc w:val="left"/>
        <w:outlineLvl w:val="0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（二）加强上市公司ESG信息披露服务和监管</w:t>
      </w:r>
    </w:p>
    <w:p>
      <w:pPr>
        <w:ind w:firstLine="562"/>
        <w:jc w:val="left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3.引导上市公司、投资者、利益相关者加强沟通交流。</w:t>
      </w:r>
      <w:r>
        <w:rPr>
          <w:rFonts w:hint="eastAsia" w:ascii="仿宋_GB2312" w:hAnsi="黑体" w:eastAsia="仿宋_GB2312"/>
          <w:bCs/>
          <w:sz w:val="30"/>
          <w:szCs w:val="30"/>
        </w:rPr>
        <w:t>开展同行业上市公司ESG专题交流活动，分享ESG报告编制实践经验，形成ESG信息披露的良性互动和质量提升。引导上市公司通过召开业绩说明会、开展走进上市公司等活动，与投资者、利益相关者等就其关注的实质性议题开展互动，提高E</w:t>
      </w:r>
      <w:r>
        <w:rPr>
          <w:rFonts w:ascii="仿宋_GB2312" w:hAnsi="黑体" w:eastAsia="仿宋_GB2312"/>
          <w:bCs/>
          <w:sz w:val="30"/>
          <w:szCs w:val="30"/>
        </w:rPr>
        <w:t>SG</w:t>
      </w:r>
      <w:r>
        <w:rPr>
          <w:rFonts w:hint="eastAsia" w:ascii="仿宋_GB2312" w:hAnsi="黑体" w:eastAsia="仿宋_GB2312"/>
          <w:bCs/>
          <w:sz w:val="30"/>
          <w:szCs w:val="30"/>
        </w:rPr>
        <w:t>信息披露的针对性、有效性。</w:t>
      </w:r>
    </w:p>
    <w:p>
      <w:pPr>
        <w:ind w:firstLine="562"/>
        <w:jc w:val="left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4.发挥优秀上市公司最佳实践引领作用。</w:t>
      </w:r>
      <w:r>
        <w:rPr>
          <w:rFonts w:hint="eastAsia" w:ascii="仿宋_GB2312" w:hAnsi="黑体" w:eastAsia="仿宋_GB2312"/>
          <w:bCs/>
          <w:sz w:val="30"/>
          <w:szCs w:val="30"/>
        </w:rPr>
        <w:t>支持各类行业自律组织定期选编发布ESG信息披露优秀实践和最佳案例，鼓励上市公司在环境保护、社会责任、公司治理等方面发布各类特色实践成果，支持主流媒体就上市公司优秀实践开展宣传工作。</w:t>
      </w:r>
    </w:p>
    <w:p>
      <w:pPr>
        <w:ind w:firstLine="562"/>
        <w:jc w:val="left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5.鼓励上市公司开展第三方鉴证或审验。</w:t>
      </w:r>
      <w:r>
        <w:rPr>
          <w:rFonts w:hint="eastAsia" w:ascii="仿宋_GB2312" w:hAnsi="黑体" w:eastAsia="仿宋_GB2312"/>
          <w:bCs/>
          <w:sz w:val="30"/>
          <w:szCs w:val="30"/>
        </w:rPr>
        <w:t>支持相关部门研究制定ESG报告鉴证或审验制度，鼓励有条件的公司就ESG报告开展第三方鉴证或审验，或就ESG报告中的碳排放、污染物排放等重要议题分步骤实施第三方鉴证或审验，逐步提高ESG报告数据的可靠性、可信度。</w:t>
      </w:r>
    </w:p>
    <w:p>
      <w:pPr>
        <w:ind w:firstLine="562"/>
        <w:jc w:val="left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6.为上市公司提供数字化工具和服务。</w:t>
      </w:r>
      <w:r>
        <w:rPr>
          <w:rFonts w:hint="eastAsia" w:ascii="仿宋_GB2312" w:eastAsia="仿宋_GB2312"/>
          <w:bCs/>
          <w:sz w:val="30"/>
          <w:szCs w:val="30"/>
        </w:rPr>
        <w:t>通过上证e服务平台ESG动态和ESG数据服务栏目，持续为上市公司提供ESG资讯和评级信息。进一步研究增加碳排放因子数据库、优秀案例库、政策法规库等栏目，为上市公司提供更多数字化服务。</w:t>
      </w:r>
    </w:p>
    <w:p>
      <w:pPr>
        <w:ind w:firstLine="562"/>
        <w:jc w:val="left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7.进一步加强ESG信息披露监管。</w:t>
      </w:r>
      <w:r>
        <w:rPr>
          <w:rFonts w:hint="eastAsia" w:ascii="仿宋_GB2312" w:hAnsi="黑体" w:eastAsia="仿宋_GB2312"/>
          <w:bCs/>
          <w:sz w:val="30"/>
          <w:szCs w:val="30"/>
        </w:rPr>
        <w:t>加强对上市公司ESG信息披露真实性、准确性和完整性的审核，对于违反《指引》规定的上市公司和中介机构等主体，根据情节严重程度采取相应的自律监管措施，提高“恶意漂绿”、选择性披露等行为的违规成本。</w:t>
      </w:r>
    </w:p>
    <w:p>
      <w:pPr>
        <w:ind w:firstLine="562"/>
        <w:jc w:val="left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b/>
          <w:bCs/>
          <w:sz w:val="30"/>
          <w:szCs w:val="30"/>
        </w:rPr>
        <w:t>8.科学设置上市公司信息披露评价标准。</w:t>
      </w:r>
      <w:r>
        <w:rPr>
          <w:rFonts w:hint="eastAsia" w:ascii="仿宋_GB2312" w:hAnsi="黑体" w:eastAsia="仿宋_GB2312"/>
          <w:sz w:val="30"/>
          <w:szCs w:val="30"/>
        </w:rPr>
        <w:t>在上市公司信息披露评价工作中，研究提高</w:t>
      </w:r>
      <w:r>
        <w:rPr>
          <w:rFonts w:hint="eastAsia" w:ascii="仿宋_GB2312" w:hAnsi="黑体" w:eastAsia="仿宋_GB2312"/>
          <w:bCs/>
          <w:sz w:val="30"/>
          <w:szCs w:val="30"/>
        </w:rPr>
        <w:t>对ESG报告质量高、评级高的公司的加分上限和非强制披露主体自愿适用《指引》披露报告的必加分值，研究对未按规定披露报告的强制披露主体设置评价结果上限。</w:t>
      </w:r>
    </w:p>
    <w:p>
      <w:pPr>
        <w:ind w:firstLine="562"/>
        <w:jc w:val="left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（三）加大对上市公司ESG披露和绿色转型的资本支持力度</w:t>
      </w:r>
    </w:p>
    <w:p>
      <w:pPr>
        <w:ind w:firstLine="562"/>
        <w:jc w:val="lef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9.创新ESG金融服务和产品。</w:t>
      </w:r>
      <w:r>
        <w:rPr>
          <w:rFonts w:hint="eastAsia" w:ascii="仿宋_GB2312" w:hAnsi="黑体" w:eastAsia="仿宋_GB2312"/>
          <w:bCs/>
          <w:sz w:val="30"/>
          <w:szCs w:val="30"/>
        </w:rPr>
        <w:t>支持中证指数公司基于中证特色数据，推出气候转型等相关创新指数，丰富ESG指数产品供给，引导更多资金流向可持续发展领域。推动更多ESG表现良好的上市公司纳入各类重要指数，鼓励基金公司发行各类ESG主题、绿色主题ETF基金产品和ESG指数跟踪基金。</w:t>
      </w:r>
    </w:p>
    <w:p>
      <w:pPr>
        <w:ind w:firstLine="562"/>
        <w:jc w:val="lef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10.加大绿色融资和并购重组支持力度。</w:t>
      </w:r>
      <w:r>
        <w:rPr>
          <w:rFonts w:hint="eastAsia" w:ascii="仿宋_GB2312" w:hAnsi="黑体" w:eastAsia="仿宋_GB2312"/>
          <w:bCs/>
          <w:sz w:val="30"/>
          <w:szCs w:val="30"/>
        </w:rPr>
        <w:t>支持上市公司通过股权融资、发行ESG主题债券、绿色债券、低碳转型债券等实现绿色低碳转型。支持上市公司通过并购重组实现绿色转型、促进绿色产业链资源整合与产业升级。鼓励各类金融机构按照市场化和风险可控原则，为ESG评级高的上市公司提供融资优惠和便利。</w:t>
      </w:r>
    </w:p>
    <w:p>
      <w:pPr>
        <w:ind w:firstLine="562"/>
        <w:jc w:val="left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（四）推动提高上市公司ESG评价、评级水平</w:t>
      </w:r>
    </w:p>
    <w:p>
      <w:pPr>
        <w:ind w:firstLine="562"/>
        <w:jc w:val="lef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11.支持中证指数公司进一步提高ESG评价结果的市场认可度。</w:t>
      </w:r>
      <w:r>
        <w:rPr>
          <w:rFonts w:hint="eastAsia" w:ascii="仿宋_GB2312" w:hAnsi="黑体" w:eastAsia="仿宋_GB2312"/>
          <w:bCs/>
          <w:sz w:val="30"/>
          <w:szCs w:val="30"/>
        </w:rPr>
        <w:t>支持中证指数公司按照《指引》的规范内容，</w:t>
      </w:r>
      <w:r>
        <w:rPr>
          <w:rFonts w:ascii="仿宋_GB2312" w:hAnsi="黑体" w:eastAsia="仿宋_GB2312"/>
          <w:bCs/>
          <w:sz w:val="30"/>
          <w:szCs w:val="30"/>
        </w:rPr>
        <w:t>强化</w:t>
      </w:r>
      <w:r>
        <w:rPr>
          <w:rFonts w:hint="eastAsia" w:ascii="仿宋_GB2312" w:hAnsi="黑体" w:eastAsia="仿宋_GB2312"/>
          <w:bCs/>
          <w:sz w:val="30"/>
          <w:szCs w:val="30"/>
        </w:rPr>
        <w:t>对ESG评价方法的动态更新，</w:t>
      </w:r>
      <w:r>
        <w:rPr>
          <w:rFonts w:ascii="仿宋_GB2312" w:hAnsi="黑体" w:eastAsia="仿宋_GB2312"/>
          <w:bCs/>
          <w:sz w:val="30"/>
          <w:szCs w:val="30"/>
        </w:rPr>
        <w:t>提升</w:t>
      </w:r>
      <w:r>
        <w:rPr>
          <w:rFonts w:hint="eastAsia" w:ascii="仿宋_GB2312" w:hAnsi="黑体" w:eastAsia="仿宋_GB2312"/>
          <w:bCs/>
          <w:sz w:val="30"/>
          <w:szCs w:val="30"/>
        </w:rPr>
        <w:t>评价结果的科学性、合理性，更加符合我国国情和上市公司实际。支持中证指数公司ESG评价结果在指数、基金等各类金融产品中的应用，进一步提高市场认可度和品牌效应。</w:t>
      </w:r>
    </w:p>
    <w:p>
      <w:pPr>
        <w:ind w:firstLine="562"/>
        <w:jc w:val="lef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12.做好与国内国际主流评级机构的沟通交流。</w:t>
      </w:r>
      <w:r>
        <w:rPr>
          <w:rFonts w:hint="eastAsia" w:ascii="仿宋_GB2312" w:hAnsi="黑体" w:eastAsia="仿宋_GB2312"/>
          <w:bCs/>
          <w:sz w:val="30"/>
          <w:szCs w:val="30"/>
        </w:rPr>
        <w:t>积极就本所《指引》执行、沪市上市公司ESG评级共性问题等与国内国际主流评级机构开展沟通交流，引导相关评级机构客观、公正评价上市公司ESG表现和可持续发展相关风险机遇。支持上市公司主动与评级机构开展沟通，积极就争议事项做好解释说明，争取获得客观、公正、合理的ESG评级结果。</w:t>
      </w:r>
    </w:p>
    <w:p>
      <w:pPr>
        <w:ind w:firstLine="562"/>
        <w:jc w:val="left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（五）持续开展上市公司宣介和国际交流合作</w:t>
      </w:r>
    </w:p>
    <w:p>
      <w:pPr>
        <w:ind w:firstLine="562"/>
        <w:jc w:val="lef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13.定期开展ESG主题周业绩说明会。</w:t>
      </w:r>
      <w:r>
        <w:rPr>
          <w:rFonts w:hint="eastAsia" w:ascii="仿宋_GB2312" w:hAnsi="黑体" w:eastAsia="仿宋_GB2312"/>
          <w:bCs/>
          <w:sz w:val="30"/>
          <w:szCs w:val="30"/>
        </w:rPr>
        <w:t>充分发挥上证路演中心平台优势和影响力，定期邀请ESG报告披露质量高、社会责任表现突出的上市公司集中召开“ESG主题周”业绩说明会，着力将其打造成为具有广泛市场影响力的ESG品牌活动。</w:t>
      </w:r>
    </w:p>
    <w:p>
      <w:pPr>
        <w:ind w:firstLine="562"/>
        <w:jc w:val="left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14.促进上市公司境外交流。</w:t>
      </w:r>
      <w:r>
        <w:rPr>
          <w:rFonts w:hint="eastAsia" w:ascii="仿宋_GB2312" w:hAnsi="黑体" w:eastAsia="仿宋_GB2312"/>
          <w:bCs/>
          <w:sz w:val="30"/>
          <w:szCs w:val="30"/>
        </w:rPr>
        <w:t>通过举办香江沙龙等品牌活动、一对一机构走访等形式，在境外持续推介本所上市公司ESG相关表现。与各类自律组织、机构合作，帮助上市公司参与在境外举办的ESG相关国际会议和论坛等，促进上市公司与境外投资机构的交流，提升中国企业在ESG方面的国际影响力和竞争力。</w:t>
      </w:r>
    </w:p>
    <w:p>
      <w:pPr>
        <w:ind w:firstLine="562"/>
        <w:jc w:val="lef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sz w:val="30"/>
          <w:szCs w:val="30"/>
        </w:rPr>
        <w:t>15.积极开展国际合作和宣传工作。</w:t>
      </w:r>
      <w:r>
        <w:rPr>
          <w:rFonts w:hint="eastAsia" w:ascii="仿宋_GB2312" w:hAnsi="黑体" w:eastAsia="仿宋_GB2312"/>
          <w:bCs/>
          <w:sz w:val="30"/>
          <w:szCs w:val="30"/>
        </w:rPr>
        <w:t>积极通过参与世界交易所联合会（WFE）等国际组织事务，</w:t>
      </w:r>
      <w:r>
        <w:rPr>
          <w:rFonts w:hint="eastAsia" w:ascii="仿宋_GB2312" w:hAnsi="Times New Roman" w:eastAsia="仿宋_GB2312" w:cs="Times New Roman"/>
          <w:bCs/>
          <w:sz w:val="30"/>
          <w:szCs w:val="30"/>
        </w:rPr>
        <w:t>展现本所绿色金融与可持续发展工作成果</w:t>
      </w:r>
      <w:r>
        <w:rPr>
          <w:rFonts w:hint="eastAsia" w:ascii="仿宋_GB2312" w:hAnsi="黑体" w:eastAsia="仿宋_GB2312"/>
          <w:bCs/>
          <w:sz w:val="30"/>
          <w:szCs w:val="30"/>
        </w:rPr>
        <w:t>。积极利用社交媒体平台，宣传、分享上市公司ESG相关新闻和报告等，大力宣介中国资本市场在ESG方面的工作举措和成果。</w:t>
      </w:r>
    </w:p>
    <w:p>
      <w:pPr>
        <w:ind w:firstLine="562"/>
        <w:jc w:val="left"/>
        <w:rPr>
          <w:rFonts w:ascii="仿宋_GB2312" w:hAnsi="黑体" w:eastAsia="仿宋_GB2312"/>
          <w:b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bCs/>
          <w:sz w:val="30"/>
          <w:szCs w:val="30"/>
        </w:rPr>
        <w:t>（六）加快推动ESG数字化建设</w:t>
      </w:r>
    </w:p>
    <w:p>
      <w:pPr>
        <w:ind w:firstLine="585"/>
        <w:rPr>
          <w:rFonts w:ascii="仿宋_GB2312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/>
          <w:bCs/>
          <w:sz w:val="30"/>
          <w:szCs w:val="30"/>
        </w:rPr>
        <w:t>16.加强ESG关键数据汇集和供给。</w:t>
      </w:r>
      <w:r>
        <w:rPr>
          <w:rFonts w:hint="eastAsia" w:ascii="仿宋_GB2312" w:eastAsia="仿宋_GB2312"/>
          <w:bCs/>
          <w:sz w:val="30"/>
          <w:szCs w:val="30"/>
        </w:rPr>
        <w:t>利用大数据技术和人工智能算法，探索开发ESG报告关键数据采集提取功能，形成上市公司ESG数据库，并推送给投资机构、评级机构等。支持市场机构共同加强数据采集、数据基础设施搭建、数据应用和共享。</w:t>
      </w:r>
    </w:p>
    <w:p>
      <w:pPr>
        <w:ind w:firstLine="585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17.推动ESG数据信息在各类场景中的应用。</w:t>
      </w:r>
      <w:r>
        <w:rPr>
          <w:rFonts w:hint="eastAsia" w:ascii="仿宋_GB2312" w:eastAsia="仿宋_GB2312"/>
          <w:bCs/>
          <w:sz w:val="30"/>
          <w:szCs w:val="30"/>
        </w:rPr>
        <w:t>加快与行业机构的试点工作，探索“碳响应力度”等数据在基金投资组合中的应用场景。</w:t>
      </w:r>
      <w:r>
        <w:rPr>
          <w:rFonts w:hint="eastAsia" w:ascii="仿宋_GB2312" w:hAnsi="黑体" w:eastAsia="仿宋_GB2312"/>
          <w:bCs/>
          <w:sz w:val="30"/>
          <w:szCs w:val="30"/>
        </w:rPr>
        <w:t>支持中证指数公司丰富气候转型评价等ESG数据产品,为投资者开展可持续投资提供参考。</w:t>
      </w:r>
    </w:p>
    <w:p>
      <w:pPr>
        <w:ind w:firstLine="562"/>
        <w:jc w:val="right"/>
        <w:rPr>
          <w:rFonts w:ascii="仿宋_GB2312" w:hAnsi="黑体" w:eastAsia="仿宋_GB2312"/>
          <w:bCs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238830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063"/>
    <w:rsid w:val="00004DA6"/>
    <w:rsid w:val="00045575"/>
    <w:rsid w:val="00050C83"/>
    <w:rsid w:val="00063EB6"/>
    <w:rsid w:val="0006426C"/>
    <w:rsid w:val="00081E2A"/>
    <w:rsid w:val="000876CD"/>
    <w:rsid w:val="000906B6"/>
    <w:rsid w:val="00090713"/>
    <w:rsid w:val="000A0E5D"/>
    <w:rsid w:val="000A3453"/>
    <w:rsid w:val="000C46EE"/>
    <w:rsid w:val="000D2D81"/>
    <w:rsid w:val="000E3BA6"/>
    <w:rsid w:val="000F415F"/>
    <w:rsid w:val="00102B17"/>
    <w:rsid w:val="00104F05"/>
    <w:rsid w:val="0010568E"/>
    <w:rsid w:val="001352A7"/>
    <w:rsid w:val="00137B17"/>
    <w:rsid w:val="00140537"/>
    <w:rsid w:val="00147B8C"/>
    <w:rsid w:val="00152983"/>
    <w:rsid w:val="0016134D"/>
    <w:rsid w:val="001633D9"/>
    <w:rsid w:val="00183AC8"/>
    <w:rsid w:val="001A62F0"/>
    <w:rsid w:val="001B5108"/>
    <w:rsid w:val="001C65FC"/>
    <w:rsid w:val="001D7383"/>
    <w:rsid w:val="001F0433"/>
    <w:rsid w:val="001F341B"/>
    <w:rsid w:val="001F5E1C"/>
    <w:rsid w:val="00200DE3"/>
    <w:rsid w:val="00213A62"/>
    <w:rsid w:val="00222BA9"/>
    <w:rsid w:val="00227664"/>
    <w:rsid w:val="002279BF"/>
    <w:rsid w:val="00250961"/>
    <w:rsid w:val="0025232E"/>
    <w:rsid w:val="00255D64"/>
    <w:rsid w:val="002624B5"/>
    <w:rsid w:val="00267EAC"/>
    <w:rsid w:val="00282DEE"/>
    <w:rsid w:val="002A34D4"/>
    <w:rsid w:val="002B6911"/>
    <w:rsid w:val="002C6E7A"/>
    <w:rsid w:val="002D24BF"/>
    <w:rsid w:val="002D3860"/>
    <w:rsid w:val="002E727F"/>
    <w:rsid w:val="002F72E1"/>
    <w:rsid w:val="00316829"/>
    <w:rsid w:val="00320E09"/>
    <w:rsid w:val="00321A22"/>
    <w:rsid w:val="00322071"/>
    <w:rsid w:val="0032248E"/>
    <w:rsid w:val="00325823"/>
    <w:rsid w:val="00326733"/>
    <w:rsid w:val="00332D18"/>
    <w:rsid w:val="00334AA1"/>
    <w:rsid w:val="00344D73"/>
    <w:rsid w:val="0034568D"/>
    <w:rsid w:val="003506F5"/>
    <w:rsid w:val="00350F70"/>
    <w:rsid w:val="00362FAA"/>
    <w:rsid w:val="00370002"/>
    <w:rsid w:val="00371E43"/>
    <w:rsid w:val="00373954"/>
    <w:rsid w:val="003C2AC6"/>
    <w:rsid w:val="003D0859"/>
    <w:rsid w:val="003E29DA"/>
    <w:rsid w:val="003E730C"/>
    <w:rsid w:val="0040078C"/>
    <w:rsid w:val="004039F1"/>
    <w:rsid w:val="004200C6"/>
    <w:rsid w:val="00421743"/>
    <w:rsid w:val="0043158A"/>
    <w:rsid w:val="0043519B"/>
    <w:rsid w:val="00437F13"/>
    <w:rsid w:val="00440816"/>
    <w:rsid w:val="004463B8"/>
    <w:rsid w:val="00452DCB"/>
    <w:rsid w:val="00456792"/>
    <w:rsid w:val="004661FE"/>
    <w:rsid w:val="00481867"/>
    <w:rsid w:val="004827AD"/>
    <w:rsid w:val="004B167C"/>
    <w:rsid w:val="004B20F5"/>
    <w:rsid w:val="004B57A5"/>
    <w:rsid w:val="004C6354"/>
    <w:rsid w:val="004C7E38"/>
    <w:rsid w:val="004D116F"/>
    <w:rsid w:val="004D561A"/>
    <w:rsid w:val="004E3260"/>
    <w:rsid w:val="004E636B"/>
    <w:rsid w:val="004E72A2"/>
    <w:rsid w:val="004F25FB"/>
    <w:rsid w:val="004F6F2F"/>
    <w:rsid w:val="004F76BF"/>
    <w:rsid w:val="0051639F"/>
    <w:rsid w:val="0051652A"/>
    <w:rsid w:val="00531E71"/>
    <w:rsid w:val="00533F3E"/>
    <w:rsid w:val="00535A5B"/>
    <w:rsid w:val="00556C58"/>
    <w:rsid w:val="00587559"/>
    <w:rsid w:val="00590E8A"/>
    <w:rsid w:val="00595614"/>
    <w:rsid w:val="005A6197"/>
    <w:rsid w:val="005D6B16"/>
    <w:rsid w:val="006041D0"/>
    <w:rsid w:val="006065F0"/>
    <w:rsid w:val="00615AF1"/>
    <w:rsid w:val="00620DC2"/>
    <w:rsid w:val="00643293"/>
    <w:rsid w:val="00650774"/>
    <w:rsid w:val="00654E4D"/>
    <w:rsid w:val="00664C69"/>
    <w:rsid w:val="00671F9E"/>
    <w:rsid w:val="00676996"/>
    <w:rsid w:val="00684524"/>
    <w:rsid w:val="00695A55"/>
    <w:rsid w:val="006A0DE5"/>
    <w:rsid w:val="006A29B5"/>
    <w:rsid w:val="006B2126"/>
    <w:rsid w:val="006C21F9"/>
    <w:rsid w:val="006C6464"/>
    <w:rsid w:val="006D432C"/>
    <w:rsid w:val="006E40AF"/>
    <w:rsid w:val="006E42E6"/>
    <w:rsid w:val="00703665"/>
    <w:rsid w:val="007058A5"/>
    <w:rsid w:val="00706FA4"/>
    <w:rsid w:val="00730D41"/>
    <w:rsid w:val="007437D8"/>
    <w:rsid w:val="007A08E4"/>
    <w:rsid w:val="007B2063"/>
    <w:rsid w:val="007B23A1"/>
    <w:rsid w:val="007C27A8"/>
    <w:rsid w:val="007C6308"/>
    <w:rsid w:val="007D0C45"/>
    <w:rsid w:val="007D23C1"/>
    <w:rsid w:val="007D5660"/>
    <w:rsid w:val="007E4C97"/>
    <w:rsid w:val="007F3531"/>
    <w:rsid w:val="00801640"/>
    <w:rsid w:val="00806462"/>
    <w:rsid w:val="0081351C"/>
    <w:rsid w:val="008166C0"/>
    <w:rsid w:val="00821C7A"/>
    <w:rsid w:val="00823851"/>
    <w:rsid w:val="0082528F"/>
    <w:rsid w:val="00844559"/>
    <w:rsid w:val="00844988"/>
    <w:rsid w:val="00847B4B"/>
    <w:rsid w:val="00850C81"/>
    <w:rsid w:val="00852C89"/>
    <w:rsid w:val="00887600"/>
    <w:rsid w:val="008A469E"/>
    <w:rsid w:val="008C0C69"/>
    <w:rsid w:val="008D4685"/>
    <w:rsid w:val="008E0DC4"/>
    <w:rsid w:val="008E2A82"/>
    <w:rsid w:val="009111A2"/>
    <w:rsid w:val="009269E8"/>
    <w:rsid w:val="00950644"/>
    <w:rsid w:val="0095523C"/>
    <w:rsid w:val="00960526"/>
    <w:rsid w:val="00970735"/>
    <w:rsid w:val="009769E4"/>
    <w:rsid w:val="00976B56"/>
    <w:rsid w:val="009815A3"/>
    <w:rsid w:val="009835EF"/>
    <w:rsid w:val="0098714B"/>
    <w:rsid w:val="00987FF9"/>
    <w:rsid w:val="00994EE6"/>
    <w:rsid w:val="00996661"/>
    <w:rsid w:val="009B13A8"/>
    <w:rsid w:val="009B1B95"/>
    <w:rsid w:val="009B7892"/>
    <w:rsid w:val="009B7FB7"/>
    <w:rsid w:val="009C080D"/>
    <w:rsid w:val="009C1970"/>
    <w:rsid w:val="009C2C94"/>
    <w:rsid w:val="009C5A79"/>
    <w:rsid w:val="009C6B1E"/>
    <w:rsid w:val="009D4AD7"/>
    <w:rsid w:val="009E3449"/>
    <w:rsid w:val="009F182A"/>
    <w:rsid w:val="009F704C"/>
    <w:rsid w:val="00A12416"/>
    <w:rsid w:val="00A13D3F"/>
    <w:rsid w:val="00A172F0"/>
    <w:rsid w:val="00A245ED"/>
    <w:rsid w:val="00A26FC1"/>
    <w:rsid w:val="00A33CA7"/>
    <w:rsid w:val="00A344D9"/>
    <w:rsid w:val="00A37B46"/>
    <w:rsid w:val="00A503DF"/>
    <w:rsid w:val="00A671C6"/>
    <w:rsid w:val="00A80872"/>
    <w:rsid w:val="00A8272D"/>
    <w:rsid w:val="00A94081"/>
    <w:rsid w:val="00AB49E4"/>
    <w:rsid w:val="00AB5E3E"/>
    <w:rsid w:val="00AB6739"/>
    <w:rsid w:val="00AB73A4"/>
    <w:rsid w:val="00AD3781"/>
    <w:rsid w:val="00AE15E4"/>
    <w:rsid w:val="00AE4ED8"/>
    <w:rsid w:val="00B028D6"/>
    <w:rsid w:val="00B02E85"/>
    <w:rsid w:val="00B0799C"/>
    <w:rsid w:val="00B26671"/>
    <w:rsid w:val="00B3122F"/>
    <w:rsid w:val="00B478AD"/>
    <w:rsid w:val="00B513A3"/>
    <w:rsid w:val="00B77A61"/>
    <w:rsid w:val="00B835BE"/>
    <w:rsid w:val="00B9422E"/>
    <w:rsid w:val="00BA14DD"/>
    <w:rsid w:val="00BA3359"/>
    <w:rsid w:val="00BB1CA3"/>
    <w:rsid w:val="00BB4538"/>
    <w:rsid w:val="00BC69BD"/>
    <w:rsid w:val="00BD00EA"/>
    <w:rsid w:val="00BE0E5A"/>
    <w:rsid w:val="00C07427"/>
    <w:rsid w:val="00C1266B"/>
    <w:rsid w:val="00C343BE"/>
    <w:rsid w:val="00C42C7A"/>
    <w:rsid w:val="00C646F4"/>
    <w:rsid w:val="00C831DE"/>
    <w:rsid w:val="00C90802"/>
    <w:rsid w:val="00CA05CE"/>
    <w:rsid w:val="00CB0544"/>
    <w:rsid w:val="00CB32F9"/>
    <w:rsid w:val="00CC24BF"/>
    <w:rsid w:val="00CD13E6"/>
    <w:rsid w:val="00CF0C83"/>
    <w:rsid w:val="00CF2ECA"/>
    <w:rsid w:val="00CF520E"/>
    <w:rsid w:val="00D4339E"/>
    <w:rsid w:val="00D44805"/>
    <w:rsid w:val="00D4587A"/>
    <w:rsid w:val="00D53A41"/>
    <w:rsid w:val="00D56697"/>
    <w:rsid w:val="00D73FF4"/>
    <w:rsid w:val="00D77345"/>
    <w:rsid w:val="00DA0747"/>
    <w:rsid w:val="00DA6250"/>
    <w:rsid w:val="00DB0424"/>
    <w:rsid w:val="00DB59C9"/>
    <w:rsid w:val="00DB5AA1"/>
    <w:rsid w:val="00DD0285"/>
    <w:rsid w:val="00DD2E83"/>
    <w:rsid w:val="00DD671D"/>
    <w:rsid w:val="00E115A4"/>
    <w:rsid w:val="00E11A67"/>
    <w:rsid w:val="00E13983"/>
    <w:rsid w:val="00E149F5"/>
    <w:rsid w:val="00E17FA9"/>
    <w:rsid w:val="00E34C4A"/>
    <w:rsid w:val="00E53968"/>
    <w:rsid w:val="00E77B45"/>
    <w:rsid w:val="00ED0928"/>
    <w:rsid w:val="00EF605C"/>
    <w:rsid w:val="00F0663F"/>
    <w:rsid w:val="00F11687"/>
    <w:rsid w:val="00F1299C"/>
    <w:rsid w:val="00F22156"/>
    <w:rsid w:val="00F25FD3"/>
    <w:rsid w:val="00F27D9C"/>
    <w:rsid w:val="00F43E21"/>
    <w:rsid w:val="00F53070"/>
    <w:rsid w:val="00F535CB"/>
    <w:rsid w:val="00FA1286"/>
    <w:rsid w:val="00FA66A7"/>
    <w:rsid w:val="00FA7343"/>
    <w:rsid w:val="00FB409D"/>
    <w:rsid w:val="00FB79BC"/>
    <w:rsid w:val="00FC2488"/>
    <w:rsid w:val="01155529"/>
    <w:rsid w:val="012845F2"/>
    <w:rsid w:val="01573E62"/>
    <w:rsid w:val="019A4639"/>
    <w:rsid w:val="01D234AB"/>
    <w:rsid w:val="01FA3F1A"/>
    <w:rsid w:val="02054054"/>
    <w:rsid w:val="02965B8F"/>
    <w:rsid w:val="02DE4659"/>
    <w:rsid w:val="03080D09"/>
    <w:rsid w:val="03A42787"/>
    <w:rsid w:val="0474771B"/>
    <w:rsid w:val="04AE01C3"/>
    <w:rsid w:val="04B7170B"/>
    <w:rsid w:val="05093353"/>
    <w:rsid w:val="05291040"/>
    <w:rsid w:val="052C2470"/>
    <w:rsid w:val="05616E2C"/>
    <w:rsid w:val="066D0994"/>
    <w:rsid w:val="06965F91"/>
    <w:rsid w:val="07120022"/>
    <w:rsid w:val="07792D09"/>
    <w:rsid w:val="07805F5A"/>
    <w:rsid w:val="089B52A8"/>
    <w:rsid w:val="093727A9"/>
    <w:rsid w:val="09390B2F"/>
    <w:rsid w:val="094F5E25"/>
    <w:rsid w:val="09A87CBD"/>
    <w:rsid w:val="09CA1E84"/>
    <w:rsid w:val="09D11FA7"/>
    <w:rsid w:val="0A157218"/>
    <w:rsid w:val="0AB33EAB"/>
    <w:rsid w:val="0BBE6243"/>
    <w:rsid w:val="0BCE4AD8"/>
    <w:rsid w:val="0BDB2485"/>
    <w:rsid w:val="0BED3EB7"/>
    <w:rsid w:val="0C401A28"/>
    <w:rsid w:val="0D643188"/>
    <w:rsid w:val="0DB655F2"/>
    <w:rsid w:val="0E511E10"/>
    <w:rsid w:val="0E6C050F"/>
    <w:rsid w:val="0EC90E08"/>
    <w:rsid w:val="0EE5237F"/>
    <w:rsid w:val="0F1F6BB5"/>
    <w:rsid w:val="0FCB2493"/>
    <w:rsid w:val="10C95E1C"/>
    <w:rsid w:val="10DA4D1E"/>
    <w:rsid w:val="110E2102"/>
    <w:rsid w:val="12041F1C"/>
    <w:rsid w:val="12FC7216"/>
    <w:rsid w:val="13A07350"/>
    <w:rsid w:val="142719F6"/>
    <w:rsid w:val="15BC054A"/>
    <w:rsid w:val="17775227"/>
    <w:rsid w:val="17911B34"/>
    <w:rsid w:val="1873399F"/>
    <w:rsid w:val="18985C69"/>
    <w:rsid w:val="18A30D80"/>
    <w:rsid w:val="18A439DE"/>
    <w:rsid w:val="19A812D7"/>
    <w:rsid w:val="19C517F0"/>
    <w:rsid w:val="19EB6EF7"/>
    <w:rsid w:val="1AC465FA"/>
    <w:rsid w:val="1B1D32FB"/>
    <w:rsid w:val="1B2616B0"/>
    <w:rsid w:val="1B8B235F"/>
    <w:rsid w:val="1BBB67DF"/>
    <w:rsid w:val="1C5D258E"/>
    <w:rsid w:val="1DEC15E3"/>
    <w:rsid w:val="1E591789"/>
    <w:rsid w:val="1E75722C"/>
    <w:rsid w:val="1ECE7FD7"/>
    <w:rsid w:val="1F886453"/>
    <w:rsid w:val="1F956841"/>
    <w:rsid w:val="1FBA3F1B"/>
    <w:rsid w:val="1FDD7129"/>
    <w:rsid w:val="2024072F"/>
    <w:rsid w:val="20461C18"/>
    <w:rsid w:val="21295BFA"/>
    <w:rsid w:val="221402F2"/>
    <w:rsid w:val="221729B6"/>
    <w:rsid w:val="22AB7B04"/>
    <w:rsid w:val="22DA1EB8"/>
    <w:rsid w:val="23262A6F"/>
    <w:rsid w:val="23CC392D"/>
    <w:rsid w:val="240C1405"/>
    <w:rsid w:val="2416673D"/>
    <w:rsid w:val="24D24D00"/>
    <w:rsid w:val="250452BF"/>
    <w:rsid w:val="26654E30"/>
    <w:rsid w:val="269E730B"/>
    <w:rsid w:val="27CA2B44"/>
    <w:rsid w:val="27D378EE"/>
    <w:rsid w:val="287F1A01"/>
    <w:rsid w:val="28AF0A3A"/>
    <w:rsid w:val="28E54554"/>
    <w:rsid w:val="28F25A4D"/>
    <w:rsid w:val="28FB4B72"/>
    <w:rsid w:val="29020159"/>
    <w:rsid w:val="296C59E4"/>
    <w:rsid w:val="29787884"/>
    <w:rsid w:val="298951AC"/>
    <w:rsid w:val="2996630C"/>
    <w:rsid w:val="29FA46AB"/>
    <w:rsid w:val="2A1C3F0A"/>
    <w:rsid w:val="2A331048"/>
    <w:rsid w:val="2ACD55E2"/>
    <w:rsid w:val="2AF79F43"/>
    <w:rsid w:val="2BC64BB6"/>
    <w:rsid w:val="2BC7145E"/>
    <w:rsid w:val="2C3D41EA"/>
    <w:rsid w:val="2C4B1B4E"/>
    <w:rsid w:val="2C8274C1"/>
    <w:rsid w:val="2CDF470A"/>
    <w:rsid w:val="2D0B6272"/>
    <w:rsid w:val="2D0C457E"/>
    <w:rsid w:val="2D976B23"/>
    <w:rsid w:val="2D9A0DB1"/>
    <w:rsid w:val="2E9175B4"/>
    <w:rsid w:val="2EB64227"/>
    <w:rsid w:val="2F6C37B3"/>
    <w:rsid w:val="2F767C2C"/>
    <w:rsid w:val="2F823BD3"/>
    <w:rsid w:val="30311B8F"/>
    <w:rsid w:val="30B26DE2"/>
    <w:rsid w:val="31251A57"/>
    <w:rsid w:val="31923973"/>
    <w:rsid w:val="31DB43BD"/>
    <w:rsid w:val="326817BE"/>
    <w:rsid w:val="32D4012A"/>
    <w:rsid w:val="32D912FC"/>
    <w:rsid w:val="32FC01A3"/>
    <w:rsid w:val="3323262B"/>
    <w:rsid w:val="33526428"/>
    <w:rsid w:val="3410331E"/>
    <w:rsid w:val="343E4606"/>
    <w:rsid w:val="343F40C7"/>
    <w:rsid w:val="345871EF"/>
    <w:rsid w:val="349A7B70"/>
    <w:rsid w:val="349D0BDD"/>
    <w:rsid w:val="34A65E49"/>
    <w:rsid w:val="34B95DD3"/>
    <w:rsid w:val="353E601C"/>
    <w:rsid w:val="35D11D3D"/>
    <w:rsid w:val="369057E0"/>
    <w:rsid w:val="375B6E52"/>
    <w:rsid w:val="37CB29F0"/>
    <w:rsid w:val="3818436A"/>
    <w:rsid w:val="384D2302"/>
    <w:rsid w:val="387201B0"/>
    <w:rsid w:val="388171B5"/>
    <w:rsid w:val="390360A3"/>
    <w:rsid w:val="39193AF2"/>
    <w:rsid w:val="396A4741"/>
    <w:rsid w:val="39AD781B"/>
    <w:rsid w:val="3A5D4FA3"/>
    <w:rsid w:val="3AD72F96"/>
    <w:rsid w:val="3B9754D2"/>
    <w:rsid w:val="3C1851F2"/>
    <w:rsid w:val="3C8C3936"/>
    <w:rsid w:val="3CB42C2A"/>
    <w:rsid w:val="3D4B1A69"/>
    <w:rsid w:val="3D5E1569"/>
    <w:rsid w:val="3D74756B"/>
    <w:rsid w:val="3D8211F9"/>
    <w:rsid w:val="3D8A336A"/>
    <w:rsid w:val="3DCE5B7D"/>
    <w:rsid w:val="3E091A6E"/>
    <w:rsid w:val="3E20580F"/>
    <w:rsid w:val="3E65226D"/>
    <w:rsid w:val="3E821B60"/>
    <w:rsid w:val="3EC90F65"/>
    <w:rsid w:val="3F015557"/>
    <w:rsid w:val="3F4A5777"/>
    <w:rsid w:val="3F4E3694"/>
    <w:rsid w:val="3F9853CD"/>
    <w:rsid w:val="3FCC20C6"/>
    <w:rsid w:val="400A03A0"/>
    <w:rsid w:val="41157FB9"/>
    <w:rsid w:val="412457DB"/>
    <w:rsid w:val="41692A16"/>
    <w:rsid w:val="41BD1C32"/>
    <w:rsid w:val="42AC3F45"/>
    <w:rsid w:val="42F80640"/>
    <w:rsid w:val="433E0428"/>
    <w:rsid w:val="437479EF"/>
    <w:rsid w:val="43C42339"/>
    <w:rsid w:val="447E5EC9"/>
    <w:rsid w:val="44A6072E"/>
    <w:rsid w:val="44E15E5E"/>
    <w:rsid w:val="44F03DE9"/>
    <w:rsid w:val="460B12FA"/>
    <w:rsid w:val="46A15E38"/>
    <w:rsid w:val="46E33B7B"/>
    <w:rsid w:val="47C8082F"/>
    <w:rsid w:val="4816120D"/>
    <w:rsid w:val="492B2293"/>
    <w:rsid w:val="494E05C9"/>
    <w:rsid w:val="495A3AC7"/>
    <w:rsid w:val="49C20111"/>
    <w:rsid w:val="49CB34DC"/>
    <w:rsid w:val="4A143CB9"/>
    <w:rsid w:val="4B92084B"/>
    <w:rsid w:val="4BCA5AAA"/>
    <w:rsid w:val="4BF12819"/>
    <w:rsid w:val="4C181DB4"/>
    <w:rsid w:val="4C281DCB"/>
    <w:rsid w:val="4CBE0364"/>
    <w:rsid w:val="4D432DDB"/>
    <w:rsid w:val="4D7D297F"/>
    <w:rsid w:val="4D817BB7"/>
    <w:rsid w:val="4DB20D7D"/>
    <w:rsid w:val="4DD1507C"/>
    <w:rsid w:val="4E765B46"/>
    <w:rsid w:val="4EE926C5"/>
    <w:rsid w:val="4F135686"/>
    <w:rsid w:val="4F88468C"/>
    <w:rsid w:val="4F933344"/>
    <w:rsid w:val="4FEF5EC8"/>
    <w:rsid w:val="4FF80704"/>
    <w:rsid w:val="4FF963A0"/>
    <w:rsid w:val="50F5163A"/>
    <w:rsid w:val="51565656"/>
    <w:rsid w:val="51743C61"/>
    <w:rsid w:val="51D73D56"/>
    <w:rsid w:val="52646602"/>
    <w:rsid w:val="53A31046"/>
    <w:rsid w:val="54244A97"/>
    <w:rsid w:val="545D1381"/>
    <w:rsid w:val="54656B86"/>
    <w:rsid w:val="551D5F9C"/>
    <w:rsid w:val="55564F5B"/>
    <w:rsid w:val="55660B12"/>
    <w:rsid w:val="56903DF3"/>
    <w:rsid w:val="56BC4ADC"/>
    <w:rsid w:val="573F3CC9"/>
    <w:rsid w:val="575800BB"/>
    <w:rsid w:val="575D5688"/>
    <w:rsid w:val="5773677F"/>
    <w:rsid w:val="58FE5F8F"/>
    <w:rsid w:val="59720E22"/>
    <w:rsid w:val="5983796F"/>
    <w:rsid w:val="59E1675C"/>
    <w:rsid w:val="59ED7E16"/>
    <w:rsid w:val="5AAA35E0"/>
    <w:rsid w:val="5AC11DB1"/>
    <w:rsid w:val="5AFF6435"/>
    <w:rsid w:val="5B5B5628"/>
    <w:rsid w:val="5B942EAE"/>
    <w:rsid w:val="5BEF27F4"/>
    <w:rsid w:val="5C5069B9"/>
    <w:rsid w:val="5C7172ED"/>
    <w:rsid w:val="5C7D0B09"/>
    <w:rsid w:val="5C7F2254"/>
    <w:rsid w:val="5D032927"/>
    <w:rsid w:val="5D3259F5"/>
    <w:rsid w:val="5DBE1DA7"/>
    <w:rsid w:val="5DFB7555"/>
    <w:rsid w:val="5E1F3130"/>
    <w:rsid w:val="5EA80A59"/>
    <w:rsid w:val="5F6C24EF"/>
    <w:rsid w:val="5F7E18CD"/>
    <w:rsid w:val="601A4522"/>
    <w:rsid w:val="605179D8"/>
    <w:rsid w:val="60D14BE6"/>
    <w:rsid w:val="61661F8B"/>
    <w:rsid w:val="617F2F0C"/>
    <w:rsid w:val="61967C0E"/>
    <w:rsid w:val="61CB55F4"/>
    <w:rsid w:val="61F17136"/>
    <w:rsid w:val="62667222"/>
    <w:rsid w:val="62E1431E"/>
    <w:rsid w:val="62E2722E"/>
    <w:rsid w:val="633C7283"/>
    <w:rsid w:val="633F20D9"/>
    <w:rsid w:val="641C61ED"/>
    <w:rsid w:val="646A7EDE"/>
    <w:rsid w:val="64DF6D0B"/>
    <w:rsid w:val="65040DC9"/>
    <w:rsid w:val="659C687B"/>
    <w:rsid w:val="65A86F6C"/>
    <w:rsid w:val="65DE0987"/>
    <w:rsid w:val="67577A53"/>
    <w:rsid w:val="67C746FC"/>
    <w:rsid w:val="67E756B2"/>
    <w:rsid w:val="6870676D"/>
    <w:rsid w:val="69A30C6D"/>
    <w:rsid w:val="69EC77D8"/>
    <w:rsid w:val="69FB0404"/>
    <w:rsid w:val="6A331AC2"/>
    <w:rsid w:val="6A4F3879"/>
    <w:rsid w:val="6AF2120E"/>
    <w:rsid w:val="6B396521"/>
    <w:rsid w:val="6B5D4FA2"/>
    <w:rsid w:val="6B95753B"/>
    <w:rsid w:val="6CEB697F"/>
    <w:rsid w:val="6D373F64"/>
    <w:rsid w:val="6D3C51C6"/>
    <w:rsid w:val="6D465E15"/>
    <w:rsid w:val="6D9F76FA"/>
    <w:rsid w:val="6DE95C65"/>
    <w:rsid w:val="6ED332E0"/>
    <w:rsid w:val="6F7070D7"/>
    <w:rsid w:val="6FFE4A65"/>
    <w:rsid w:val="700B6300"/>
    <w:rsid w:val="700E739A"/>
    <w:rsid w:val="71273140"/>
    <w:rsid w:val="715B19EB"/>
    <w:rsid w:val="72193DBF"/>
    <w:rsid w:val="724443E8"/>
    <w:rsid w:val="730D678B"/>
    <w:rsid w:val="7360247B"/>
    <w:rsid w:val="73B22065"/>
    <w:rsid w:val="73E90642"/>
    <w:rsid w:val="75344FA9"/>
    <w:rsid w:val="76B31194"/>
    <w:rsid w:val="77A6726F"/>
    <w:rsid w:val="784F3138"/>
    <w:rsid w:val="78987315"/>
    <w:rsid w:val="78E1125F"/>
    <w:rsid w:val="79FF7B22"/>
    <w:rsid w:val="7A413270"/>
    <w:rsid w:val="7AA02ECB"/>
    <w:rsid w:val="7B835FAF"/>
    <w:rsid w:val="7BBE1855"/>
    <w:rsid w:val="7BF372E3"/>
    <w:rsid w:val="7C55369D"/>
    <w:rsid w:val="7C9D0270"/>
    <w:rsid w:val="7D2C2AE8"/>
    <w:rsid w:val="7D7F0374"/>
    <w:rsid w:val="7D997441"/>
    <w:rsid w:val="7E49588A"/>
    <w:rsid w:val="7E512EB4"/>
    <w:rsid w:val="7E622BFF"/>
    <w:rsid w:val="7E942324"/>
    <w:rsid w:val="7EBFFF49"/>
    <w:rsid w:val="7EFA15B5"/>
    <w:rsid w:val="7F886D2E"/>
    <w:rsid w:val="7FCC59BA"/>
    <w:rsid w:val="9FE6C628"/>
    <w:rsid w:val="BFF7F6FD"/>
    <w:rsid w:val="BFFDE1EF"/>
    <w:rsid w:val="DBF85776"/>
    <w:rsid w:val="FBE4A588"/>
    <w:rsid w:val="FDF7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18"/>
    <w:semiHidden/>
    <w:unhideWhenUsed/>
    <w:qFormat/>
    <w:uiPriority w:val="99"/>
    <w:pPr>
      <w:snapToGrid w:val="0"/>
      <w:jc w:val="left"/>
    </w:pPr>
    <w:rPr>
      <w:sz w:val="18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4"/>
    <w:next w:val="4"/>
    <w:link w:val="22"/>
    <w:semiHidden/>
    <w:unhideWhenUsed/>
    <w:qFormat/>
    <w:uiPriority w:val="99"/>
    <w:rPr>
      <w:b/>
      <w:bCs/>
    </w:r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styleId="15">
    <w:name w:val="footnote reference"/>
    <w:basedOn w:val="12"/>
    <w:semiHidden/>
    <w:unhideWhenUsed/>
    <w:qFormat/>
    <w:uiPriority w:val="99"/>
    <w:rPr>
      <w:vertAlign w:val="superscript"/>
    </w:rPr>
  </w:style>
  <w:style w:type="character" w:customStyle="1" w:styleId="16">
    <w:name w:val="批注文字 字符"/>
    <w:basedOn w:val="12"/>
    <w:link w:val="4"/>
    <w:semiHidden/>
    <w:qFormat/>
    <w:uiPriority w:val="99"/>
  </w:style>
  <w:style w:type="character" w:customStyle="1" w:styleId="17">
    <w:name w:val="批注框文本 字符"/>
    <w:basedOn w:val="12"/>
    <w:link w:val="5"/>
    <w:semiHidden/>
    <w:qFormat/>
    <w:uiPriority w:val="99"/>
    <w:rPr>
      <w:sz w:val="18"/>
      <w:szCs w:val="18"/>
    </w:rPr>
  </w:style>
  <w:style w:type="character" w:customStyle="1" w:styleId="18">
    <w:name w:val="脚注文本 字符"/>
    <w:basedOn w:val="12"/>
    <w:link w:val="8"/>
    <w:semiHidden/>
    <w:qFormat/>
    <w:uiPriority w:val="99"/>
    <w:rPr>
      <w:sz w:val="18"/>
    </w:rPr>
  </w:style>
  <w:style w:type="character" w:customStyle="1" w:styleId="19">
    <w:name w:val="页眉 字符"/>
    <w:basedOn w:val="12"/>
    <w:link w:val="7"/>
    <w:qFormat/>
    <w:uiPriority w:val="99"/>
    <w:rPr>
      <w:sz w:val="18"/>
      <w:szCs w:val="18"/>
    </w:rPr>
  </w:style>
  <w:style w:type="character" w:customStyle="1" w:styleId="20">
    <w:name w:val="页脚 字符"/>
    <w:basedOn w:val="12"/>
    <w:link w:val="6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批注主题 字符"/>
    <w:basedOn w:val="16"/>
    <w:link w:val="10"/>
    <w:semiHidden/>
    <w:qFormat/>
    <w:uiPriority w:val="99"/>
    <w:rPr>
      <w:b/>
      <w:bCs/>
    </w:rPr>
  </w:style>
  <w:style w:type="paragraph" w:customStyle="1" w:styleId="23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C822BC0A-4F55-4B3A-9A30-6B6FC0406A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528</Words>
  <Characters>3010</Characters>
  <Lines>25</Lines>
  <Paragraphs>7</Paragraphs>
  <TotalTime>92</TotalTime>
  <ScaleCrop>false</ScaleCrop>
  <LinksUpToDate>false</LinksUpToDate>
  <CharactersWithSpaces>3531</CharactersWithSpaces>
  <Application>WPS Office_12.8.0.16982_F1E327BC-269C-435d-A152-05C5408002CA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ychen</cp:lastModifiedBy>
  <cp:revision>33</cp:revision>
  <cp:lastPrinted>2024-08-15T05:43:00Z</cp:lastPrinted>
  <dcterms:created xsi:type="dcterms:W3CDTF">2023-07-19T14:42:00Z</dcterms:created>
  <dcterms:modified xsi:type="dcterms:W3CDTF">2024-11-07T01:46:20Z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2052-12.8.0.16982</vt:lpwstr>
  </property>
  <property fmtid="{D5CDD505-2E9C-101B-9397-08002B2CF9AE}" pid="3" name="ICV">
    <vt:lpwstr>7567E41E19B84E99AF1A0E49E7E64DE4</vt:lpwstr>
  </property>
</Properties>
</file>